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"/>
        <w:gridCol w:w="9308"/>
      </w:tblGrid>
      <w:tr w:rsidR="005A6C8B" w:rsidRPr="005A6C8B" w:rsidTr="005A6C8B">
        <w:trPr>
          <w:gridAfter w:val="1"/>
          <w:trHeight w:val="464"/>
          <w:tblCellSpacing w:w="0" w:type="dxa"/>
        </w:trPr>
        <w:tc>
          <w:tcPr>
            <w:tcW w:w="0" w:type="auto"/>
            <w:vMerge w:val="restart"/>
            <w:hideMark/>
          </w:tcPr>
          <w:p w:rsidR="005A6C8B" w:rsidRPr="005A6C8B" w:rsidRDefault="005A6C8B" w:rsidP="005A6C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right"/>
              <w:tblCellSpacing w:w="0" w:type="dxa"/>
              <w:tblBorders>
                <w:top w:val="outset" w:sz="6" w:space="0" w:color="C7C3C3"/>
                <w:left w:val="outset" w:sz="6" w:space="0" w:color="C7C3C3"/>
                <w:bottom w:val="outset" w:sz="6" w:space="0" w:color="C7C3C3"/>
                <w:right w:val="outset" w:sz="6" w:space="0" w:color="C7C3C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</w:tblGrid>
            <w:tr w:rsidR="005A6C8B" w:rsidRPr="005A6C8B">
              <w:trPr>
                <w:tblCellSpacing w:w="0" w:type="dxa"/>
                <w:jc w:val="right"/>
              </w:trPr>
              <w:tc>
                <w:tcPr>
                  <w:tcW w:w="5000" w:type="pct"/>
                  <w:tcBorders>
                    <w:top w:val="outset" w:sz="6" w:space="0" w:color="C7C3C3"/>
                    <w:left w:val="outset" w:sz="6" w:space="0" w:color="C7C3C3"/>
                    <w:bottom w:val="outset" w:sz="6" w:space="0" w:color="C7C3C3"/>
                    <w:right w:val="outset" w:sz="6" w:space="0" w:color="C7C3C3"/>
                  </w:tcBorders>
                  <w:shd w:val="clear" w:color="auto" w:fill="EDE9E4"/>
                  <w:hideMark/>
                </w:tcPr>
                <w:p w:rsidR="005A6C8B" w:rsidRPr="005A6C8B" w:rsidRDefault="005A6C8B" w:rsidP="005A6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6C8B" w:rsidRPr="005A6C8B" w:rsidRDefault="005A6C8B" w:rsidP="005A6C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A6C8B" w:rsidRPr="005A6C8B" w:rsidTr="005A6C8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6C8B" w:rsidRPr="005A6C8B" w:rsidRDefault="005A6C8B" w:rsidP="005A6C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6"/>
              <w:gridCol w:w="2792"/>
            </w:tblGrid>
            <w:tr w:rsidR="005A6C8B" w:rsidRPr="005A6C8B">
              <w:trPr>
                <w:tblCellSpacing w:w="0" w:type="dxa"/>
              </w:trPr>
              <w:tc>
                <w:tcPr>
                  <w:tcW w:w="3500" w:type="pct"/>
                  <w:vAlign w:val="center"/>
                  <w:hideMark/>
                </w:tcPr>
                <w:p w:rsidR="005A6C8B" w:rsidRPr="005A6C8B" w:rsidRDefault="005A6C8B" w:rsidP="005A6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5A6C8B" w:rsidRPr="005A6C8B" w:rsidRDefault="005A6C8B" w:rsidP="005A6C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68.25pt;height:18pt" o:ole="">
                        <v:imagedata r:id="rId4" o:title=""/>
                      </v:shape>
                      <w:control r:id="rId5" w:name="DefaultOcxName" w:shapeid="_x0000_i1044"/>
                    </w:object>
                  </w:r>
                  <w:r w:rsidRPr="005A6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5A6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3" type="#_x0000_t75" style="width:57pt;height:22.5pt" o:ole="">
                        <v:imagedata r:id="rId6" o:title=""/>
                      </v:shape>
                      <w:control r:id="rId7" w:name="DefaultOcxName1" w:shapeid="_x0000_i1043"/>
                    </w:object>
                  </w:r>
                </w:p>
              </w:tc>
            </w:tr>
          </w:tbl>
          <w:p w:rsidR="005A6C8B" w:rsidRPr="005A6C8B" w:rsidRDefault="005A6C8B" w:rsidP="005A6C8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</w:pPr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HG 904/2014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stabilirea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limitelor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minime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cheltuieli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aferente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drepturilor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prevazute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de art. 129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alin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. (1) </w:t>
            </w:r>
            <w:proofErr w:type="gram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din</w:t>
            </w:r>
            <w:proofErr w:type="gram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Legea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nr. 272/2004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privind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protectia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promovarea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drepturilor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copilului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.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>Hotararea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szCs w:val="27"/>
              </w:rPr>
              <w:t xml:space="preserve"> nr. 904/2014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Publicat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fldChar w:fldCharType="begin"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instrText xml:space="preserve"> HYPERLINK "http://www.dreptonline.ro/monitorul_oficial/monitor_oficial.php?id_monitor=11617" \o "Monitorul Oficial nr. 763/2014 - M. Of. nr. 763/2014" \t "_blank" </w:instrTex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fldChar w:fldCharType="separate"/>
            </w:r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Monitorul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Oficial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Partea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 xml:space="preserve"> I nr. 763 din 21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octombrie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 xml:space="preserve"> 2014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fldChar w:fldCharType="end"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In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temeiul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art. 108 din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fldChar w:fldCharType="begin"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instrText xml:space="preserve"> HYPERLINK "http://www.dreptonline.ro/legislatie/constitutia_romaniei.php" \o "Constitutia Romaniei" \t "_blank" </w:instrTex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fldChar w:fldCharType="separate"/>
            </w:r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Constitutia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FF"/>
                <w:sz w:val="15"/>
                <w:u w:val="single"/>
              </w:rPr>
              <w:t>Romaniei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fldChar w:fldCharType="end"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republicata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art. 129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alin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 (5)</w:t>
            </w:r>
            <w:proofErr w:type="gram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-(</w:t>
            </w:r>
            <w:proofErr w:type="gram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7) din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Legea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nr. 272/2004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privind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protectia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promovarea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drepturilor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copilului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republicata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cu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modificarile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completarile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ulterioare</w:t>
            </w:r>
            <w:proofErr w:type="spellEnd"/>
            <w:proofErr w:type="gram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</w:t>
            </w:r>
            <w:proofErr w:type="gram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Guvernul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Romaniei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adopta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prezenta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hotarare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Art. 1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Prezenta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hotarare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stabileste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cuantumul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limitelor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minime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cheltuieli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aferente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drepturilor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imbracaminte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incaltaminte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igienico-sanitare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rechizite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manuale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jucarii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transport,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cultural-sportive,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precum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sumele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bani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nevoi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personale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cuantumul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alocatiei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hrana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tinerii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care s-a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stabilit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masura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protectie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speciala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-un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serviciu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public de tip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rezidential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mamele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protejate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centre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maternale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precum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cuantumul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alocatiei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hrana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serviciile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publice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27"/>
              <w:gridCol w:w="81"/>
            </w:tblGrid>
            <w:tr w:rsidR="005A6C8B" w:rsidRPr="005A6C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6C8B" w:rsidRPr="005A6C8B" w:rsidRDefault="005A6C8B" w:rsidP="005A6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5A6C8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Art. 2</w:t>
                  </w:r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Sumele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stabilite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potrivit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rpevederilor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art. 1,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grupe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varsta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sunt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prevazute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in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anexa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care face parte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integranta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din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prezenta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hotarare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si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se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aplica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incepand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cu data de 1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decembrie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2014.</w:t>
                  </w:r>
                  <w:r w:rsidRPr="005A6C8B">
                    <w:rPr>
                      <w:rFonts w:ascii="Verdana" w:eastAsia="Times New Roman" w:hAnsi="Verdana" w:cs="Times New Roman"/>
                      <w:sz w:val="15"/>
                    </w:rPr>
                    <w:t> </w:t>
                  </w:r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r w:rsidRPr="005A6C8B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Art. 3</w:t>
                  </w:r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br/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Incepand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cu data de 1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decembrie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2014 se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abroga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punctele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A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si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B din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anexa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la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Hotararea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Guvernului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nr. 421/2008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privind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stabilirea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nivelului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minim al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alocatiei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zilnice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hrana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pentru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consumurile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colective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din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institutiile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publice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asistenta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sociala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publicata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in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Monitorul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Oficial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al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Romaniei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Partea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I, nr. 320 din 23 </w:t>
                  </w:r>
                  <w:proofErr w:type="spellStart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aprilie</w:t>
                  </w:r>
                  <w:proofErr w:type="spellEnd"/>
                  <w:r w:rsidRPr="005A6C8B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2008.</w:t>
                  </w:r>
                </w:p>
              </w:tc>
              <w:tc>
                <w:tcPr>
                  <w:tcW w:w="0" w:type="auto"/>
                  <w:hideMark/>
                </w:tcPr>
                <w:p w:rsidR="005A6C8B" w:rsidRPr="005A6C8B" w:rsidRDefault="005A6C8B" w:rsidP="005A6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6C8B" w:rsidRPr="005A6C8B" w:rsidRDefault="005A6C8B" w:rsidP="005A6C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ANEXA - LIMITELE MINIME de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cheltuieli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aferente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drepturilor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la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hrana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imbracaminte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incaltaminte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igienico-sanitare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rechizite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manuale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jucarii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transport,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cultural-sportive,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precum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sume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bani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nevoi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personale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prevazute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de art. 129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alin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. (1) </w:t>
            </w:r>
            <w:proofErr w:type="gram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din</w:t>
            </w:r>
            <w:proofErr w:type="gram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Legea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nr. 272/2004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privind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protectia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promovarea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drepturilor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copilului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A.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Hrana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imbracaminte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incaltaminte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igienico-sanitare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rechizite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manuale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jucarii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, transport,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cultural-sportive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Grupa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varsta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Valoarea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alocatiei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hrana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(lei/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tanar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Valoare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drepturi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imbracaminte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incaltaminte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igienico-sanitare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rechizite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manuale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jucarii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transport,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materiale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cultural-sportive (lei/an/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tanar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De la 0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pana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la 3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ani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inclusiv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12,00   366,00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De la 3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pana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la 7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ani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inclusiv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   16,60   498,00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De la 7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pana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la 14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ani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inclusiv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   16,60   611,00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De la 14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pana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la 18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ani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inclusiv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   16,60   754,00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De la 18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pana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la 26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ani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inclusiv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   16,60   844,00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Mama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protejata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centru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maternal   16,60   844,00</w:t>
            </w:r>
          </w:p>
          <w:p w:rsidR="005A6C8B" w:rsidRPr="005A6C8B" w:rsidRDefault="005A6C8B" w:rsidP="005A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Copil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beneficiar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serviciu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zi</w:t>
            </w:r>
            <w:proofErr w:type="spellEnd"/>
            <w:r w:rsidRPr="005A6C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**   12,99   -</w:t>
            </w:r>
          </w:p>
          <w:p w:rsidR="005A6C8B" w:rsidRPr="005A6C8B" w:rsidRDefault="005A6C8B" w:rsidP="005A6C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* Se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aplica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copiilor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tinerilor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cerinte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educationale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speciale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scolarizati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unitatile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invatamant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special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masa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inclusiv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scolarizati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alt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judet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decat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domiciliu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in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conformitate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cu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prevederile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art. 51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alin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. (2) </w:t>
            </w:r>
            <w:proofErr w:type="gram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din</w:t>
            </w:r>
            <w:proofErr w:type="gram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Legea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educatiei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nationale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nr. 1/2011, cu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modificarile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completarile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ulterioare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** Se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aplica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copiilor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crese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unitati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educatie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timpurie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B.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Sume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bani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nevoi</w:t>
            </w:r>
            <w:proofErr w:type="spellEnd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personale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Beneficiar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Valoarea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(lei/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luna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</w:rPr>
              <w:t> </w:t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Copiii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tinerii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care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beneficiaza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o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masura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protectie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speciala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intr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-un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serviciu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public de tip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rezidential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precum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pentru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mamele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protejate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in centre </w:t>
            </w:r>
            <w:proofErr w:type="spellStart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maternale</w:t>
            </w:r>
            <w:proofErr w:type="spellEnd"/>
            <w:r w:rsidRPr="005A6C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28,00</w:t>
            </w:r>
          </w:p>
        </w:tc>
      </w:tr>
    </w:tbl>
    <w:p w:rsidR="00000000" w:rsidRDefault="005A6C8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C8B"/>
    <w:rsid w:val="005A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6C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C8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C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8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6C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6C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6C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6C8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2016-10-20T08:38:00Z</dcterms:created>
  <dcterms:modified xsi:type="dcterms:W3CDTF">2016-10-20T08:42:00Z</dcterms:modified>
</cp:coreProperties>
</file>